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3594E4">
      <w:pPr>
        <w:spacing w:line="360" w:lineRule="auto"/>
        <w:jc w:val="center"/>
        <w:rPr>
          <w:rFonts w:hint="default" w:ascii="Times New Roman" w:hAnsi="Times New Roman" w:eastAsia="微软雅黑" w:cs="Times New Roman"/>
          <w:b/>
          <w:color w:val="auto"/>
          <w:kern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微软雅黑" w:cs="Times New Roman"/>
          <w:b/>
          <w:color w:val="auto"/>
          <w:kern w:val="0"/>
          <w:sz w:val="44"/>
          <w:szCs w:val="44"/>
        </w:rPr>
        <w:t>20</w:t>
      </w:r>
      <w:r>
        <w:rPr>
          <w:rFonts w:hint="default" w:ascii="Times New Roman" w:hAnsi="Times New Roman" w:eastAsia="微软雅黑" w:cs="Times New Roman"/>
          <w:b/>
          <w:color w:val="auto"/>
          <w:kern w:val="0"/>
          <w:sz w:val="44"/>
          <w:szCs w:val="44"/>
          <w:lang w:val="en-US" w:eastAsia="zh-CN"/>
        </w:rPr>
        <w:t>2</w:t>
      </w:r>
      <w:r>
        <w:rPr>
          <w:rFonts w:hint="eastAsia" w:eastAsia="微软雅黑" w:cs="Times New Roman"/>
          <w:b/>
          <w:color w:val="auto"/>
          <w:kern w:val="0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微软雅黑" w:cs="Times New Roman"/>
          <w:b/>
          <w:color w:val="auto"/>
          <w:kern w:val="0"/>
          <w:sz w:val="44"/>
          <w:szCs w:val="44"/>
          <w:lang w:val="en-US" w:eastAsia="zh-CN"/>
        </w:rPr>
        <w:t>级研究生教学工作安排</w:t>
      </w:r>
    </w:p>
    <w:p w14:paraId="3C46B392">
      <w:pPr>
        <w:spacing w:line="360" w:lineRule="auto"/>
        <w:jc w:val="center"/>
        <w:rPr>
          <w:rFonts w:hint="default" w:ascii="Times New Roman" w:hAnsi="Times New Roman" w:eastAsia="仿宋_GB2312" w:cs="Times New Roman"/>
          <w:b/>
          <w:color w:val="auto"/>
          <w:kern w:val="0"/>
          <w:sz w:val="24"/>
          <w:szCs w:val="24"/>
        </w:rPr>
      </w:pPr>
    </w:p>
    <w:p w14:paraId="726AE9DA">
      <w:pPr>
        <w:widowControl/>
        <w:spacing w:line="480" w:lineRule="exact"/>
        <w:ind w:firstLine="602" w:firstLineChars="200"/>
        <w:jc w:val="left"/>
        <w:rPr>
          <w:rFonts w:hint="default" w:ascii="Times New Roman" w:hAnsi="Times New Roman" w:eastAsia="仿宋_GB2312" w:cs="Times New Roman"/>
          <w:b/>
          <w:bCs w:val="0"/>
          <w:color w:val="auto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 w:val="0"/>
          <w:color w:val="auto"/>
          <w:sz w:val="30"/>
          <w:szCs w:val="30"/>
          <w:lang w:val="en-US" w:eastAsia="zh-CN"/>
        </w:rPr>
        <w:t>一、9月份开学的</w:t>
      </w:r>
      <w:r>
        <w:rPr>
          <w:rFonts w:hint="default" w:ascii="Times New Roman" w:hAnsi="Times New Roman" w:eastAsia="仿宋_GB2312" w:cs="Times New Roman"/>
          <w:b/>
          <w:color w:val="auto"/>
          <w:sz w:val="30"/>
          <w:szCs w:val="30"/>
          <w:lang w:val="en-US" w:eastAsia="zh-CN"/>
        </w:rPr>
        <w:t>所有博士研究生和其他硕士研究生（非临床口腔专硕）</w:t>
      </w:r>
      <w:r>
        <w:rPr>
          <w:rFonts w:hint="default" w:ascii="Times New Roman" w:hAnsi="Times New Roman" w:eastAsia="仿宋_GB2312" w:cs="Times New Roman"/>
          <w:b/>
          <w:bCs w:val="0"/>
          <w:color w:val="auto"/>
          <w:sz w:val="30"/>
          <w:szCs w:val="30"/>
          <w:lang w:val="en-US" w:eastAsia="zh-CN"/>
        </w:rPr>
        <w:t>选课预安排</w:t>
      </w:r>
    </w:p>
    <w:p w14:paraId="50B2BC1B">
      <w:pPr>
        <w:widowControl/>
        <w:spacing w:line="480" w:lineRule="exact"/>
        <w:ind w:firstLine="602" w:firstLineChars="200"/>
        <w:jc w:val="left"/>
        <w:rPr>
          <w:rFonts w:hint="default" w:ascii="Times New Roman" w:hAnsi="Times New Roman" w:eastAsia="仿宋_GB2312" w:cs="Times New Roman"/>
          <w:b/>
          <w:color w:val="auto"/>
          <w:kern w:val="0"/>
          <w:sz w:val="30"/>
          <w:szCs w:val="30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0"/>
          <w:szCs w:val="30"/>
          <w:lang w:val="en-US" w:eastAsia="zh-CN"/>
        </w:rPr>
        <w:t>按照学校通知要求提前进行</w:t>
      </w:r>
      <w:r>
        <w:rPr>
          <w:rFonts w:hint="default" w:ascii="Times New Roman" w:hAnsi="Times New Roman" w:eastAsia="仿宋_GB2312" w:cs="Times New Roman"/>
          <w:b/>
          <w:color w:val="auto"/>
          <w:sz w:val="30"/>
          <w:szCs w:val="30"/>
        </w:rPr>
        <w:t>研究生</w:t>
      </w:r>
      <w:r>
        <w:rPr>
          <w:rFonts w:hint="default" w:ascii="Times New Roman" w:hAnsi="Times New Roman" w:eastAsia="仿宋_GB2312" w:cs="Times New Roman"/>
          <w:b/>
          <w:color w:val="auto"/>
          <w:sz w:val="30"/>
          <w:szCs w:val="30"/>
          <w:lang w:eastAsia="zh-CN"/>
        </w:rPr>
        <w:t>选课，选课系统开放时间详见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0"/>
          <w:szCs w:val="30"/>
        </w:rPr>
        <w:t>研究生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0"/>
          <w:szCs w:val="30"/>
          <w:lang w:val="en-US" w:eastAsia="zh-CN"/>
        </w:rPr>
        <w:t>工作部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0"/>
          <w:szCs w:val="30"/>
        </w:rPr>
        <w:t>网站（http://yjsxy.ahmu.edu.cn/）</w:t>
      </w:r>
      <w:r>
        <w:rPr>
          <w:rFonts w:hint="eastAsia" w:eastAsia="仿宋_GB2312" w:cs="Times New Roman"/>
          <w:b/>
          <w:bCs/>
          <w:color w:val="auto"/>
          <w:kern w:val="0"/>
          <w:sz w:val="30"/>
          <w:szCs w:val="30"/>
          <w:lang w:eastAsia="zh-CN"/>
        </w:rPr>
        <w:t>－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0"/>
          <w:szCs w:val="30"/>
        </w:rPr>
        <w:t>培养工作栏目</w:t>
      </w:r>
      <w:r>
        <w:rPr>
          <w:rFonts w:hint="eastAsia" w:eastAsia="仿宋_GB2312" w:cs="Times New Roman"/>
          <w:b/>
          <w:bCs/>
          <w:color w:val="auto"/>
          <w:kern w:val="0"/>
          <w:sz w:val="30"/>
          <w:szCs w:val="30"/>
          <w:lang w:eastAsia="zh-CN"/>
        </w:rPr>
        <w:t>－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0"/>
          <w:szCs w:val="30"/>
          <w:lang w:val="en-US" w:eastAsia="zh-CN"/>
        </w:rPr>
        <w:t>通知公告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0"/>
          <w:sz w:val="30"/>
          <w:szCs w:val="30"/>
          <w:lang w:val="en-US" w:eastAsia="zh-CN"/>
        </w:rPr>
        <w:t>（预计8月下旬发布）</w:t>
      </w:r>
    </w:p>
    <w:p w14:paraId="6BCDFE6C">
      <w:pPr>
        <w:numPr>
          <w:ilvl w:val="0"/>
          <w:numId w:val="0"/>
        </w:numPr>
        <w:spacing w:line="480" w:lineRule="exact"/>
        <w:ind w:firstLine="0" w:firstLineChars="0"/>
        <w:rPr>
          <w:rFonts w:hint="default" w:ascii="Times New Roman" w:hAnsi="Times New Roman" w:eastAsia="仿宋_GB2312" w:cs="Times New Roman"/>
          <w:b/>
          <w:color w:val="auto"/>
          <w:kern w:val="0"/>
          <w:sz w:val="30"/>
          <w:szCs w:val="30"/>
          <w:lang w:val="en-US" w:eastAsia="zh-CN"/>
        </w:rPr>
      </w:pPr>
    </w:p>
    <w:p w14:paraId="4BD9E4AE">
      <w:pPr>
        <w:numPr>
          <w:ilvl w:val="0"/>
          <w:numId w:val="1"/>
        </w:numPr>
        <w:spacing w:line="480" w:lineRule="exact"/>
        <w:ind w:firstLine="602" w:firstLineChars="200"/>
        <w:rPr>
          <w:rFonts w:hint="default" w:ascii="Times New Roman" w:hAnsi="Times New Roman" w:eastAsia="仿宋_GB2312" w:cs="Times New Roman"/>
          <w:b/>
          <w:color w:val="auto"/>
          <w:kern w:val="0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color w:val="auto"/>
          <w:kern w:val="0"/>
          <w:sz w:val="30"/>
          <w:szCs w:val="30"/>
        </w:rPr>
        <w:t>临床医学和口腔医学硕士专业学位研究生培养相关政策</w:t>
      </w:r>
    </w:p>
    <w:p w14:paraId="22B2F16A">
      <w:pPr>
        <w:spacing w:line="480" w:lineRule="exact"/>
        <w:ind w:firstLine="600" w:firstLineChars="200"/>
        <w:rPr>
          <w:rFonts w:hint="default" w:ascii="Times New Roman" w:hAnsi="Times New Roman" w:eastAsia="仿宋_GB2312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仿宋_GB2312" w:cs="Times New Roman"/>
          <w:color w:val="auto"/>
          <w:sz w:val="30"/>
          <w:szCs w:val="30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0"/>
          <w:szCs w:val="30"/>
          <w:lang w:val="en-US" w:eastAsia="zh-CN"/>
        </w:rPr>
        <w:t>一</w:t>
      </w:r>
      <w:r>
        <w:rPr>
          <w:rFonts w:hint="default" w:ascii="Times New Roman" w:hAnsi="Times New Roman" w:eastAsia="仿宋_GB2312" w:cs="Times New Roman"/>
          <w:color w:val="auto"/>
          <w:sz w:val="30"/>
          <w:szCs w:val="30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0"/>
          <w:szCs w:val="30"/>
        </w:rPr>
        <w:t>培养原则：采用理论学习、临床轮转与导师指导相结合的培养方式，其中临床轮转应按照住院医师规范化培训内容与标准进行。</w:t>
      </w:r>
    </w:p>
    <w:p w14:paraId="4BD64774">
      <w:pPr>
        <w:widowControl/>
        <w:spacing w:line="480" w:lineRule="exact"/>
        <w:ind w:firstLine="600" w:firstLineChars="200"/>
        <w:jc w:val="left"/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课程学习：</w:t>
      </w:r>
    </w:p>
    <w:p w14:paraId="414E3B33">
      <w:pPr>
        <w:widowControl/>
        <w:spacing w:line="480" w:lineRule="exact"/>
        <w:ind w:firstLine="600" w:firstLineChars="200"/>
        <w:jc w:val="left"/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1.选课：选课操作流程、开设课程详见研究生工作部</w:t>
      </w:r>
      <w:r>
        <w:rPr>
          <w:rFonts w:hint="eastAsia" w:eastAsia="仿宋_GB2312" w:cs="Times New Roman"/>
          <w:color w:val="auto"/>
          <w:kern w:val="0"/>
          <w:sz w:val="30"/>
          <w:szCs w:val="30"/>
          <w:lang w:val="en-US" w:eastAsia="zh-CN"/>
        </w:rPr>
        <w:t>－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培养工作</w:t>
      </w:r>
      <w:r>
        <w:rPr>
          <w:rFonts w:hint="eastAsia" w:eastAsia="仿宋_GB2312" w:cs="Times New Roman"/>
          <w:color w:val="auto"/>
          <w:kern w:val="0"/>
          <w:sz w:val="30"/>
          <w:szCs w:val="30"/>
          <w:lang w:val="en-US" w:eastAsia="zh-CN"/>
        </w:rPr>
        <w:t>－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通知公告；登录“研究生教育综合管理服务系统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（http://210.45.96.114/pyxx/login.aspx）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”网上选课，预计选课时间为202</w:t>
      </w:r>
      <w:r>
        <w:rPr>
          <w:rFonts w:hint="eastAsia" w:eastAsia="仿宋_GB2312" w:cs="Times New Roman"/>
          <w:color w:val="auto"/>
          <w:kern w:val="0"/>
          <w:sz w:val="30"/>
          <w:szCs w:val="30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年8月中上旬，以实际通知为准。</w:t>
      </w:r>
    </w:p>
    <w:p w14:paraId="70205CF8">
      <w:pPr>
        <w:widowControl/>
        <w:spacing w:line="480" w:lineRule="exact"/>
        <w:ind w:firstLine="600" w:firstLineChars="200"/>
        <w:jc w:val="left"/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0"/>
          <w:szCs w:val="30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2.学习方式：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临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床</w:t>
      </w:r>
      <w:r>
        <w:rPr>
          <w:rFonts w:hint="eastAsia" w:eastAsia="仿宋_GB2312" w:cs="Times New Roman"/>
          <w:color w:val="auto"/>
          <w:kern w:val="0"/>
          <w:sz w:val="30"/>
          <w:szCs w:val="30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口腔</w:t>
      </w:r>
      <w:r>
        <w:rPr>
          <w:rFonts w:hint="eastAsia" w:eastAsia="仿宋_GB2312" w:cs="Times New Roman"/>
          <w:color w:val="auto"/>
          <w:kern w:val="0"/>
          <w:sz w:val="30"/>
          <w:szCs w:val="30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专硕所有课程（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除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专业进展课和专业英语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外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）均为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0"/>
          <w:szCs w:val="30"/>
        </w:rPr>
        <w:t>网络视频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0"/>
          <w:szCs w:val="30"/>
          <w:lang w:eastAsia="zh-CN"/>
        </w:rPr>
        <w:t>学习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，视频授课需登录校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研究生网络教学平台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和虚拟仿真实验教学平台，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highlight w:val="none"/>
          <w:lang w:val="en-US" w:eastAsia="zh-CN"/>
        </w:rPr>
        <w:t>具体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lang w:val="en-US" w:eastAsia="zh-CN"/>
        </w:rPr>
        <w:t>学习时间以通知为准</w:t>
      </w:r>
      <w:r>
        <w:rPr>
          <w:rFonts w:hint="eastAsia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lang w:val="en-US" w:eastAsia="zh-CN"/>
        </w:rPr>
        <w:t>（预计9月底）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</w:rPr>
        <w:t>所有课程需在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lang w:val="en-US" w:eastAsia="zh-CN"/>
        </w:rPr>
        <w:t>202</w:t>
      </w:r>
      <w:r>
        <w:rPr>
          <w:rFonts w:hint="eastAsia" w:eastAsia="仿宋_GB2312" w:cs="Times New Roman"/>
          <w:b w:val="0"/>
          <w:bCs w:val="0"/>
          <w:color w:val="auto"/>
          <w:kern w:val="0"/>
          <w:sz w:val="30"/>
          <w:szCs w:val="30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lang w:val="en-US" w:eastAsia="zh-CN"/>
        </w:rPr>
        <w:t>年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lang w:eastAsia="zh-CN"/>
        </w:rPr>
        <w:t>1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</w:rPr>
        <w:t>月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</w:rPr>
        <w:t>0日前完成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lang w:val="en-US" w:eastAsia="zh-CN"/>
        </w:rPr>
        <w:t>学习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lang w:eastAsia="zh-CN"/>
        </w:rPr>
        <w:t>1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</w:rPr>
        <w:t>月底完成课程考核，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具体考核方式请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lang w:eastAsia="zh-CN"/>
        </w:rPr>
        <w:t>1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</w:rPr>
        <w:t>月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lang w:val="en-US" w:eastAsia="zh-CN"/>
        </w:rPr>
        <w:t>中下旬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</w:rPr>
        <w:t>持续关注研究生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lang w:val="en-US" w:eastAsia="zh-CN"/>
        </w:rPr>
        <w:t>工作部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</w:rPr>
        <w:t>网站</w:t>
      </w:r>
      <w:r>
        <w:rPr>
          <w:rFonts w:hint="eastAsia" w:eastAsia="仿宋_GB2312" w:cs="Times New Roman"/>
          <w:b w:val="0"/>
          <w:bCs w:val="0"/>
          <w:color w:val="auto"/>
          <w:kern w:val="0"/>
          <w:sz w:val="30"/>
          <w:szCs w:val="30"/>
          <w:lang w:eastAsia="zh-CN"/>
        </w:rPr>
        <w:t>－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</w:rPr>
        <w:t>培养工作栏目通知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lang w:val="en-US" w:eastAsia="zh-CN"/>
        </w:rPr>
        <w:t>公告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lang w:eastAsia="zh-CN"/>
        </w:rPr>
        <w:t>，如有变动，请以官网通知为准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</w:rPr>
        <w:t>。</w:t>
      </w:r>
    </w:p>
    <w:p w14:paraId="6D0F5D5C">
      <w:pPr>
        <w:widowControl/>
        <w:spacing w:line="480" w:lineRule="exact"/>
        <w:ind w:firstLine="600" w:firstLineChars="200"/>
        <w:jc w:val="left"/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临床能力训练时间：应不少于33个月。</w:t>
      </w:r>
    </w:p>
    <w:p w14:paraId="74FDD132">
      <w:pPr>
        <w:widowControl/>
        <w:spacing w:line="480" w:lineRule="exact"/>
        <w:ind w:firstLine="600" w:firstLineChars="200"/>
        <w:jc w:val="left"/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四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学位申请条件：按照校学位办学位授予相关要求执行。</w:t>
      </w:r>
    </w:p>
    <w:p w14:paraId="455AEA27">
      <w:pPr>
        <w:widowControl/>
        <w:spacing w:beforeLines="0" w:line="480" w:lineRule="exact"/>
        <w:ind w:firstLine="600" w:firstLineChars="200"/>
        <w:jc w:val="left"/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五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不符合研究生入学资格的同学课程学习无效。</w:t>
      </w:r>
    </w:p>
    <w:p w14:paraId="6E6A6DBD">
      <w:pPr>
        <w:widowControl/>
        <w:spacing w:beforeLines="0" w:line="480" w:lineRule="exact"/>
        <w:ind w:firstLine="602" w:firstLineChars="200"/>
        <w:jc w:val="left"/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0"/>
          <w:szCs w:val="30"/>
          <w:lang w:eastAsia="zh-CN"/>
        </w:rPr>
        <w:t>（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0"/>
          <w:szCs w:val="30"/>
          <w:lang w:val="en-US" w:eastAsia="zh-CN"/>
        </w:rPr>
        <w:t>六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0"/>
          <w:szCs w:val="30"/>
          <w:lang w:eastAsia="zh-CN"/>
        </w:rPr>
        <w:t>）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0"/>
          <w:szCs w:val="30"/>
        </w:rPr>
        <w:t>特别说明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：</w:t>
      </w:r>
    </w:p>
    <w:p w14:paraId="25267A56">
      <w:pPr>
        <w:widowControl/>
        <w:numPr>
          <w:ilvl w:val="0"/>
          <w:numId w:val="0"/>
        </w:numPr>
        <w:spacing w:line="480" w:lineRule="exact"/>
        <w:ind w:firstLine="600" w:firstLineChars="200"/>
        <w:jc w:val="left"/>
        <w:rPr>
          <w:rFonts w:hint="default" w:ascii="Times New Roman" w:hAnsi="Times New Roman" w:eastAsia="仿宋_GB2312" w:cs="Times New Roman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“5+3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一体化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”转段生</w:t>
      </w:r>
      <w:r>
        <w:rPr>
          <w:rFonts w:hint="default" w:ascii="Times New Roman" w:hAnsi="Times New Roman" w:eastAsia="仿宋_GB2312" w:cs="Times New Roman"/>
          <w:color w:val="auto"/>
          <w:sz w:val="30"/>
          <w:szCs w:val="30"/>
        </w:rPr>
        <w:t>本科阶段相应学期的《医用统计方法》、《学术英语综合与听说》、《</w:t>
      </w:r>
      <w:r>
        <w:rPr>
          <w:rFonts w:hint="default" w:ascii="Times New Roman" w:hAnsi="Times New Roman" w:eastAsia="仿宋_GB2312" w:cs="Times New Roman"/>
          <w:color w:val="auto"/>
          <w:sz w:val="30"/>
          <w:szCs w:val="30"/>
          <w:lang w:val="en-US" w:eastAsia="zh-CN"/>
        </w:rPr>
        <w:t>新时代</w:t>
      </w:r>
      <w:r>
        <w:rPr>
          <w:rFonts w:hint="default" w:ascii="Times New Roman" w:hAnsi="Times New Roman" w:eastAsia="仿宋_GB2312" w:cs="Times New Roman"/>
          <w:color w:val="auto"/>
          <w:sz w:val="30"/>
          <w:szCs w:val="30"/>
        </w:rPr>
        <w:t>中国特色社会主义理论与实践研究》、《循证医学》、《医学科研设计》、《医患沟通》、《公共卫生原理与方法》、《细菌耐药性与抗菌药物的合理利用》、《重大传染病防治知识》，可以对应地等同于临床医学硕士专业学位研究生课程，如本科阶段课程成绩达到75分，则免修免考相应的研究生课程，本科阶段成绩可直接</w:t>
      </w:r>
      <w:r>
        <w:rPr>
          <w:rFonts w:hint="eastAsia" w:ascii="Times New Roman" w:hAnsi="Times New Roman" w:eastAsia="仿宋_GB2312" w:cs="Times New Roman"/>
          <w:color w:val="auto"/>
          <w:sz w:val="30"/>
          <w:szCs w:val="30"/>
          <w:lang w:val="en-US" w:eastAsia="zh-CN"/>
        </w:rPr>
        <w:t>对应</w:t>
      </w:r>
      <w:r>
        <w:rPr>
          <w:rFonts w:hint="default" w:ascii="Times New Roman" w:hAnsi="Times New Roman" w:eastAsia="仿宋_GB2312" w:cs="Times New Roman"/>
          <w:color w:val="auto"/>
          <w:sz w:val="30"/>
          <w:szCs w:val="30"/>
        </w:rPr>
        <w:t>，如未达到75分</w:t>
      </w:r>
      <w:r>
        <w:rPr>
          <w:rFonts w:hint="default" w:ascii="Times New Roman" w:hAnsi="Times New Roman" w:eastAsia="仿宋_GB2312" w:cs="Times New Roman"/>
          <w:color w:val="auto"/>
          <w:sz w:val="30"/>
          <w:szCs w:val="30"/>
          <w:lang w:val="en-US" w:eastAsia="zh-CN"/>
        </w:rPr>
        <w:t>且研究生阶段仍选修上述课程，则</w:t>
      </w:r>
      <w:r>
        <w:rPr>
          <w:rFonts w:hint="default" w:ascii="Times New Roman" w:hAnsi="Times New Roman" w:eastAsia="仿宋_GB2312" w:cs="Times New Roman"/>
          <w:color w:val="auto"/>
          <w:sz w:val="30"/>
          <w:szCs w:val="30"/>
        </w:rPr>
        <w:t>需正常跟班</w:t>
      </w:r>
      <w:r>
        <w:rPr>
          <w:rFonts w:hint="default" w:ascii="Times New Roman" w:hAnsi="Times New Roman" w:eastAsia="仿宋_GB2312" w:cs="Times New Roman"/>
          <w:color w:val="auto"/>
          <w:sz w:val="30"/>
          <w:szCs w:val="30"/>
          <w:highlight w:val="none"/>
        </w:rPr>
        <w:t>上课</w:t>
      </w:r>
      <w:r>
        <w:rPr>
          <w:rFonts w:hint="default" w:ascii="Times New Roman" w:hAnsi="Times New Roman" w:eastAsia="仿宋_GB2312" w:cs="Times New Roman"/>
          <w:color w:val="auto"/>
          <w:sz w:val="30"/>
          <w:szCs w:val="30"/>
          <w:highlight w:val="none"/>
          <w:lang w:eastAsia="zh-CN"/>
        </w:rPr>
        <w:t>。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0"/>
          <w:szCs w:val="30"/>
          <w:highlight w:val="none"/>
          <w:lang w:eastAsia="zh-CN"/>
        </w:rPr>
        <w:t>《马克思主义与社会科学方法论》所有“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0"/>
          <w:szCs w:val="30"/>
          <w:highlight w:val="none"/>
          <w:lang w:val="en-US" w:eastAsia="zh-CN"/>
        </w:rPr>
        <w:t>5+3”转段生均需上课。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0"/>
          <w:szCs w:val="30"/>
          <w:highlight w:val="none"/>
          <w:lang w:val="en-US" w:eastAsia="zh-CN"/>
        </w:rPr>
        <w:t>具体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0"/>
          <w:szCs w:val="30"/>
          <w:highlight w:val="none"/>
        </w:rPr>
        <w:t>“5+3”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0"/>
          <w:szCs w:val="30"/>
          <w:highlight w:val="none"/>
          <w:lang w:val="en-US" w:eastAsia="zh-CN"/>
        </w:rPr>
        <w:t>转段生上述课程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0"/>
          <w:szCs w:val="30"/>
          <w:highlight w:val="none"/>
          <w:lang w:val="en-US" w:eastAsia="zh-CN"/>
        </w:rPr>
        <w:t>上课名单详见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0"/>
          <w:szCs w:val="30"/>
          <w:highlight w:val="none"/>
        </w:rPr>
        <w:t>研究生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0"/>
          <w:szCs w:val="30"/>
          <w:highlight w:val="none"/>
          <w:lang w:val="en-US" w:eastAsia="zh-CN"/>
        </w:rPr>
        <w:t>工作部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0"/>
          <w:szCs w:val="30"/>
          <w:highlight w:val="none"/>
        </w:rPr>
        <w:t>网站</w:t>
      </w:r>
      <w:r>
        <w:rPr>
          <w:rFonts w:hint="eastAsia" w:eastAsia="仿宋_GB2312" w:cs="Times New Roman"/>
          <w:b/>
          <w:bCs/>
          <w:color w:val="auto"/>
          <w:kern w:val="0"/>
          <w:sz w:val="30"/>
          <w:szCs w:val="30"/>
          <w:highlight w:val="none"/>
          <w:lang w:eastAsia="zh-CN"/>
        </w:rPr>
        <w:t>－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0"/>
          <w:szCs w:val="30"/>
          <w:highlight w:val="none"/>
        </w:rPr>
        <w:t>培养工作栏目通知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0"/>
          <w:sz w:val="30"/>
          <w:szCs w:val="30"/>
          <w:highlight w:val="none"/>
          <w:lang w:val="en-US" w:eastAsia="zh-CN"/>
        </w:rPr>
        <w:t>公告</w:t>
      </w:r>
      <w:r>
        <w:rPr>
          <w:rFonts w:hint="default" w:ascii="Times New Roman" w:hAnsi="Times New Roman" w:eastAsia="仿宋_GB2312" w:cs="Times New Roman"/>
          <w:color w:val="auto"/>
          <w:sz w:val="30"/>
          <w:szCs w:val="30"/>
          <w:highlight w:val="none"/>
          <w:lang w:val="en-US" w:eastAsia="zh-CN"/>
        </w:rPr>
        <w:t>。</w:t>
      </w:r>
    </w:p>
    <w:p w14:paraId="64A0339D">
      <w:pPr>
        <w:widowControl/>
        <w:numPr>
          <w:ilvl w:val="0"/>
          <w:numId w:val="0"/>
        </w:numPr>
        <w:spacing w:line="480" w:lineRule="exact"/>
        <w:ind w:firstLine="600" w:firstLineChars="200"/>
        <w:jc w:val="left"/>
        <w:rPr>
          <w:rFonts w:hint="default" w:ascii="Times New Roman" w:hAnsi="Times New Roman" w:eastAsia="仿宋_GB2312" w:cs="Times New Roman"/>
          <w:b/>
          <w:bCs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0"/>
          <w:szCs w:val="30"/>
          <w:highlight w:val="none"/>
          <w:lang w:val="en-US" w:eastAsia="zh-CN" w:bidi="ar-SA"/>
        </w:rPr>
        <w:t>其他考生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0"/>
          <w:szCs w:val="30"/>
          <w:highlight w:val="none"/>
          <w:lang w:val="en-US" w:eastAsia="zh-CN" w:bidi="ar-SA"/>
        </w:rPr>
        <w:t>考研初试英语成绩≥</w:t>
      </w:r>
      <w:r>
        <w:rPr>
          <w:rFonts w:hint="eastAsia" w:eastAsia="仿宋_GB2312" w:cs="Times New Roman"/>
          <w:b/>
          <w:bCs/>
          <w:color w:val="auto"/>
          <w:kern w:val="2"/>
          <w:sz w:val="30"/>
          <w:szCs w:val="30"/>
          <w:highlight w:val="none"/>
          <w:lang w:val="en-US" w:eastAsia="zh-CN" w:bidi="ar-SA"/>
        </w:rPr>
        <w:t>55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0"/>
          <w:szCs w:val="30"/>
          <w:highlight w:val="none"/>
          <w:lang w:val="en-US" w:eastAsia="zh-CN" w:bidi="ar-SA"/>
        </w:rPr>
        <w:t>分、保研同学免修免考英语</w:t>
      </w:r>
      <w:r>
        <w:rPr>
          <w:rFonts w:hint="default" w:ascii="Times New Roman" w:hAnsi="Times New Roman" w:eastAsia="仿宋_GB2312" w:cs="Times New Roman"/>
          <w:color w:val="auto"/>
          <w:kern w:val="2"/>
          <w:sz w:val="30"/>
          <w:szCs w:val="30"/>
          <w:highlight w:val="none"/>
          <w:lang w:val="en-US" w:eastAsia="zh-CN" w:bidi="ar-SA"/>
        </w:rPr>
        <w:t>，请自主安排学习，如不能确定，可以咨询培养办。</w:t>
      </w:r>
    </w:p>
    <w:p w14:paraId="0883FFCC">
      <w:pPr>
        <w:widowControl/>
        <w:numPr>
          <w:ilvl w:val="0"/>
          <w:numId w:val="2"/>
        </w:numPr>
        <w:spacing w:line="480" w:lineRule="exact"/>
        <w:ind w:firstLine="600" w:firstLineChars="200"/>
        <w:jc w:val="left"/>
        <w:rPr>
          <w:rFonts w:hint="default" w:ascii="Times New Roman" w:hAnsi="Times New Roman" w:eastAsia="仿宋_GB2312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仿宋_GB2312" w:cs="Times New Roman"/>
          <w:color w:val="auto"/>
          <w:sz w:val="30"/>
          <w:szCs w:val="30"/>
        </w:rPr>
        <w:t>课程名称及教材详见下表：</w:t>
      </w:r>
    </w:p>
    <w:tbl>
      <w:tblPr>
        <w:tblStyle w:val="8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4"/>
        <w:gridCol w:w="2460"/>
        <w:gridCol w:w="2565"/>
        <w:gridCol w:w="1770"/>
        <w:gridCol w:w="2969"/>
      </w:tblGrid>
      <w:tr w14:paraId="361EA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2E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1B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课程名称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1C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教材名称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0D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主编</w:t>
            </w:r>
          </w:p>
        </w:tc>
        <w:tc>
          <w:tcPr>
            <w:tcW w:w="1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F8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出版社</w:t>
            </w:r>
          </w:p>
        </w:tc>
      </w:tr>
      <w:tr w14:paraId="03AEA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B13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4EE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医患沟通学（专硕）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BEB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医患沟通学第3版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948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尹梅</w:t>
            </w:r>
            <w:r>
              <w:rPr>
                <w:rFonts w:hint="eastAsia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唐宏宇</w:t>
            </w:r>
          </w:p>
        </w:tc>
        <w:tc>
          <w:tcPr>
            <w:tcW w:w="1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A25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人民卫生出版社</w:t>
            </w:r>
          </w:p>
        </w:tc>
      </w:tr>
      <w:tr w14:paraId="6E6D3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61E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E49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医学科研设计（专硕）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767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医学科研方法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085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苏虹</w:t>
            </w:r>
          </w:p>
        </w:tc>
        <w:tc>
          <w:tcPr>
            <w:tcW w:w="1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35E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安徽大学出版社</w:t>
            </w:r>
          </w:p>
        </w:tc>
      </w:tr>
      <w:tr w14:paraId="119C1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B0A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FED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公共卫生原理与方法（专硕）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297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公共卫生学概论（第</w:t>
            </w:r>
            <w:r>
              <w:rPr>
                <w:rStyle w:val="24"/>
                <w:rFonts w:hint="default" w:ascii="Times New Roman" w:hAnsi="Times New Roman" w:eastAsia="仿宋" w:cs="Times New Roman"/>
                <w:color w:val="auto"/>
                <w:sz w:val="21"/>
                <w:szCs w:val="21"/>
                <w:lang w:val="en-US" w:eastAsia="zh-CN" w:bidi="ar"/>
              </w:rPr>
              <w:t>2版）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1C9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陶芳标</w:t>
            </w:r>
          </w:p>
        </w:tc>
        <w:tc>
          <w:tcPr>
            <w:tcW w:w="1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0BB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科学出版社</w:t>
            </w:r>
          </w:p>
        </w:tc>
      </w:tr>
      <w:tr w14:paraId="6C253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A3E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668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重大传染病防治知识（专硕）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5DA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课堂讲义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1E0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93F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170F4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88B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FF8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循证医学（专硕）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45B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循证医学（第4版）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13E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康德英、许能锋</w:t>
            </w:r>
          </w:p>
        </w:tc>
        <w:tc>
          <w:tcPr>
            <w:tcW w:w="1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383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人民卫生出版社，2023年</w:t>
            </w:r>
          </w:p>
        </w:tc>
      </w:tr>
      <w:tr w14:paraId="303BC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E9D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2BF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医用统计方法（专硕）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CDA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医学统计学（第四版）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BC4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陈峰</w:t>
            </w:r>
          </w:p>
        </w:tc>
        <w:tc>
          <w:tcPr>
            <w:tcW w:w="1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C3F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人民卫生出版社，2024年11月</w:t>
            </w:r>
          </w:p>
        </w:tc>
      </w:tr>
      <w:tr w14:paraId="67CB3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3C4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B23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细菌耐药性与抗菌药物的合理利用（专硕）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7C5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现代感染性疾病临床实践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F5A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李家斌</w:t>
            </w:r>
          </w:p>
        </w:tc>
        <w:tc>
          <w:tcPr>
            <w:tcW w:w="1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E3A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安徽科学技术出版社</w:t>
            </w:r>
          </w:p>
        </w:tc>
      </w:tr>
      <w:tr w14:paraId="7B892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1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25A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18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5AE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学术英语综合与听说（专硕）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A1E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《当代医学英语视听说教程II-健康管理》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53A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宋军、苏柳燕</w:t>
            </w:r>
          </w:p>
        </w:tc>
        <w:tc>
          <w:tcPr>
            <w:tcW w:w="1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C29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复旦大学出版社，2019年</w:t>
            </w:r>
          </w:p>
        </w:tc>
      </w:tr>
      <w:tr w14:paraId="6C727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1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783CE">
            <w:pPr>
              <w:jc w:val="left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8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BB5EC">
            <w:pPr>
              <w:jc w:val="left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5E6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《医学英语写作》（第2版）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DDE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刘维静、袁远</w:t>
            </w:r>
          </w:p>
        </w:tc>
        <w:tc>
          <w:tcPr>
            <w:tcW w:w="1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B0E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南京大学出版社，2024年4月</w:t>
            </w:r>
          </w:p>
        </w:tc>
      </w:tr>
      <w:tr w14:paraId="273CA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E21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954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马克思主义与科学方法论（专硕）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A7F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马克思主义与科学方法论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58E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本书编写组</w:t>
            </w:r>
          </w:p>
        </w:tc>
        <w:tc>
          <w:tcPr>
            <w:tcW w:w="1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748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高等教育出版社，2025年</w:t>
            </w:r>
          </w:p>
        </w:tc>
      </w:tr>
      <w:tr w14:paraId="2789A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E29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2FF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新时代中国特色社会主义理论与实践（专硕）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A63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新时代中国特色社会主义理论与实践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544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本书编写组</w:t>
            </w:r>
          </w:p>
        </w:tc>
        <w:tc>
          <w:tcPr>
            <w:tcW w:w="1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54C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高等教育出版社，2024年</w:t>
            </w:r>
          </w:p>
        </w:tc>
      </w:tr>
      <w:tr w14:paraId="01C58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399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300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分子生物学（专硕）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6E6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分子生物学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D0F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周春燕</w:t>
            </w:r>
          </w:p>
        </w:tc>
        <w:tc>
          <w:tcPr>
            <w:tcW w:w="1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F90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人民卫生出版社</w:t>
            </w:r>
          </w:p>
        </w:tc>
      </w:tr>
      <w:tr w14:paraId="7CDD1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0B3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6AE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医学科研思维及实验技术虚拟仿真实验（专硕）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87B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85C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308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09383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FBA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BAD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肿瘤放射治疗学（专硕）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FD7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肿瘤放射治疗学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99C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王绿化</w:t>
            </w:r>
            <w:r>
              <w:rPr>
                <w:rFonts w:hint="eastAsia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朱广迎</w:t>
            </w:r>
          </w:p>
        </w:tc>
        <w:tc>
          <w:tcPr>
            <w:tcW w:w="1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944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人民卫生出版社</w:t>
            </w:r>
          </w:p>
        </w:tc>
      </w:tr>
      <w:tr w14:paraId="30811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E8F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3C5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牙周病的病因与综合防治（专硕）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378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临床牙周病学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B70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孟焕新 </w:t>
            </w:r>
          </w:p>
        </w:tc>
        <w:tc>
          <w:tcPr>
            <w:tcW w:w="1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40F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北京大学医学出版社，第2版</w:t>
            </w:r>
          </w:p>
        </w:tc>
      </w:tr>
      <w:tr w14:paraId="09861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90D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0A8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牙体缺损修复的基础研究和临床新进展（专硕）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21E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《Biomimetic Materials in Conservative Dentistry and Endodontics》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FA1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M G, Kavana; Kini, Annapoorna</w:t>
            </w:r>
          </w:p>
        </w:tc>
        <w:tc>
          <w:tcPr>
            <w:tcW w:w="1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8A1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Vinaychandra, R,LAP LAMBERT Academic Publishing, 2023</w:t>
            </w:r>
          </w:p>
        </w:tc>
      </w:tr>
    </w:tbl>
    <w:p w14:paraId="2B1E8F42">
      <w:pPr>
        <w:numPr>
          <w:ilvl w:val="0"/>
          <w:numId w:val="0"/>
        </w:numPr>
        <w:spacing w:line="580" w:lineRule="exact"/>
        <w:ind w:firstLine="602" w:firstLineChars="200"/>
      </w:pPr>
      <w:r>
        <w:rPr>
          <w:rFonts w:hint="eastAsia" w:eastAsia="仿宋_GB2312" w:cs="Times New Roman"/>
          <w:b/>
          <w:bCs/>
          <w:color w:val="auto"/>
          <w:sz w:val="30"/>
          <w:szCs w:val="30"/>
          <w:lang w:val="en-US" w:eastAsia="zh-CN"/>
        </w:rPr>
        <w:t>三、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0"/>
          <w:szCs w:val="30"/>
          <w:lang w:val="en-US" w:eastAsia="zh-CN"/>
        </w:rPr>
        <w:t>联系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0"/>
          <w:szCs w:val="30"/>
          <w:lang w:val="en-US" w:eastAsia="zh-CN"/>
        </w:rPr>
        <w:t>方式</w:t>
      </w:r>
      <w:r>
        <w:rPr>
          <w:rFonts w:hint="default" w:ascii="Times New Roman" w:hAnsi="Times New Roman" w:eastAsia="仿宋_GB2312" w:cs="Times New Roman"/>
          <w:b w:val="0"/>
          <w:color w:val="auto"/>
          <w:sz w:val="30"/>
          <w:szCs w:val="30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0"/>
          <w:szCs w:val="30"/>
          <w:lang w:val="en-US" w:eastAsia="zh-CN"/>
        </w:rPr>
        <w:t>0551-65168424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0"/>
          <w:szCs w:val="30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0"/>
          <w:szCs w:val="30"/>
          <w:lang w:val="en-US" w:eastAsia="zh-CN"/>
        </w:rPr>
        <w:t>研究生工作部培养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0"/>
          <w:szCs w:val="30"/>
          <w:lang w:val="en-US" w:eastAsia="zh-CN"/>
        </w:rPr>
        <w:t>办公室</w:t>
      </w:r>
    </w:p>
    <w:sectPr>
      <w:pgSz w:w="11906" w:h="16838"/>
      <w:pgMar w:top="873" w:right="850" w:bottom="873" w:left="85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96875D"/>
    <w:multiLevelType w:val="singleLevel"/>
    <w:tmpl w:val="A996875D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0D1FF2C"/>
    <w:multiLevelType w:val="singleLevel"/>
    <w:tmpl w:val="40D1FF2C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9b0f2b26-30b5-433e-9185-d5318326fefd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50B2BC1B</paraID>
      <start>70</start>
      <end>71</end>
      <status>modified</status>
      <modifiedWord>－</modifiedWord>
      <trackRevisions>false</trackRevisions>
    </reviewItem>
    <reviewItem>
      <errorID>22722858-febb-4541-b28d-9ae6e0dfbfa8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414E3B33</paraID>
      <start>24</start>
      <end>25</end>
      <status>modified</status>
      <modifiedWord>－</modifiedWord>
      <trackRevisions>false</trackRevisions>
    </reviewItem>
    <reviewItem>
      <errorID>a3733e98-717a-415e-87ac-957b4b400793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414E3B33</paraID>
      <start>29</start>
      <end>30</end>
      <status>modified</status>
      <modifiedWord>－</modifiedWord>
      <trackRevisions>false</trackRevisions>
    </reviewItem>
    <reviewItem>
      <errorID>d37445e5-3d4f-48a8-beb9-a250556ac355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70205CF8</paraID>
      <start>149</start>
      <end>150</end>
      <status>modified</status>
      <modifiedWord>－</modifiedWord>
      <trackRevisions>false</trackRevisions>
    </reviewItem>
    <reviewItem>
      <errorID>bcb01043-1ad6-47a7-9709-3dded1c629aa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25267A56</paraID>
      <start>282</start>
      <end>283</end>
      <status>modified</status>
      <modifiedWord>－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d993922-b740-40d2-89b0-c3de7a48551f}">
  <ds:schemaRefs/>
</ds:datastoreItem>
</file>